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20" w:type="dxa"/>
        <w:tblInd w:w="-767"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919"/>
        <w:gridCol w:w="8901"/>
      </w:tblGrid>
      <w:tr w:rsidR="004A4871" w:rsidRPr="00D73927" w:rsidTr="00CC3DAD">
        <w:trPr>
          <w:trHeight w:hRule="exact" w:val="629"/>
        </w:trPr>
        <w:tc>
          <w:tcPr>
            <w:tcW w:w="10820" w:type="dxa"/>
            <w:gridSpan w:val="2"/>
            <w:tcBorders>
              <w:top w:val="single" w:sz="4" w:space="0" w:color="FFFFFF"/>
              <w:bottom w:val="single" w:sz="12" w:space="0" w:color="000000"/>
            </w:tcBorders>
            <w:tcMar>
              <w:top w:w="28" w:type="dxa"/>
              <w:left w:w="28" w:type="dxa"/>
              <w:bottom w:w="28" w:type="dxa"/>
              <w:right w:w="28" w:type="dxa"/>
            </w:tcMar>
          </w:tcPr>
          <w:p w:rsidR="004A4871" w:rsidRPr="00D73927" w:rsidRDefault="004A4871" w:rsidP="001D7313">
            <w:pPr>
              <w:pStyle w:val="Bullet1Text"/>
              <w:numPr>
                <w:ilvl w:val="0"/>
                <w:numId w:val="0"/>
              </w:numPr>
              <w:tabs>
                <w:tab w:val="left" w:pos="0"/>
              </w:tabs>
              <w:ind w:left="360"/>
              <w:rPr>
                <w:rFonts w:cs="Arial"/>
                <w:sz w:val="24"/>
              </w:rPr>
            </w:pPr>
            <w:bookmarkStart w:id="0" w:name="_GoBack"/>
            <w:bookmarkEnd w:id="0"/>
            <w:r w:rsidRPr="00D73927">
              <w:rPr>
                <w:rFonts w:cs="Arial"/>
                <w:sz w:val="24"/>
              </w:rPr>
              <w:t xml:space="preserve">Job </w:t>
            </w:r>
            <w:r w:rsidR="001D7313">
              <w:rPr>
                <w:rFonts w:cs="Arial"/>
                <w:sz w:val="24"/>
              </w:rPr>
              <w:t xml:space="preserve">Advertisement </w:t>
            </w:r>
          </w:p>
        </w:tc>
      </w:tr>
      <w:tr w:rsidR="004A4871" w:rsidRPr="00D73927" w:rsidTr="00CC3DAD">
        <w:trPr>
          <w:trHeight w:val="472"/>
        </w:trPr>
        <w:tc>
          <w:tcPr>
            <w:tcW w:w="1919" w:type="dxa"/>
            <w:tcBorders>
              <w:top w:val="single" w:sz="4" w:space="0" w:color="FFFFFF"/>
              <w:bottom w:val="single" w:sz="4" w:space="0" w:color="FF6600"/>
              <w:right w:val="nil"/>
            </w:tcBorders>
            <w:tcMar>
              <w:top w:w="28" w:type="dxa"/>
              <w:left w:w="28" w:type="dxa"/>
              <w:bottom w:w="28" w:type="dxa"/>
              <w:right w:w="28" w:type="dxa"/>
            </w:tcMar>
          </w:tcPr>
          <w:p w:rsidR="004A4871" w:rsidRPr="00D73927" w:rsidRDefault="004A4871" w:rsidP="004A4871">
            <w:pPr>
              <w:pStyle w:val="Bullet1Text"/>
              <w:tabs>
                <w:tab w:val="left" w:pos="0"/>
              </w:tabs>
              <w:rPr>
                <w:rFonts w:cs="Arial"/>
                <w:sz w:val="24"/>
              </w:rPr>
            </w:pPr>
            <w:r w:rsidRPr="00D73927">
              <w:rPr>
                <w:rFonts w:cs="Arial"/>
                <w:sz w:val="24"/>
              </w:rPr>
              <w:t>Job title:</w:t>
            </w:r>
          </w:p>
        </w:tc>
        <w:tc>
          <w:tcPr>
            <w:tcW w:w="8901" w:type="dxa"/>
            <w:tcBorders>
              <w:top w:val="single" w:sz="4" w:space="0" w:color="FFFFFF"/>
              <w:left w:val="nil"/>
              <w:bottom w:val="single" w:sz="4" w:space="0" w:color="FF6600"/>
            </w:tcBorders>
            <w:tcMar>
              <w:top w:w="28" w:type="dxa"/>
              <w:left w:w="85" w:type="dxa"/>
              <w:bottom w:w="28" w:type="dxa"/>
              <w:right w:w="85" w:type="dxa"/>
            </w:tcMar>
          </w:tcPr>
          <w:p w:rsidR="004A4871" w:rsidRPr="00D73927" w:rsidRDefault="004A4871" w:rsidP="004A4871">
            <w:pPr>
              <w:pStyle w:val="Bullet1Text"/>
              <w:tabs>
                <w:tab w:val="left" w:pos="0"/>
              </w:tabs>
              <w:rPr>
                <w:rFonts w:cs="Arial"/>
                <w:iCs/>
                <w:sz w:val="24"/>
              </w:rPr>
            </w:pPr>
            <w:r w:rsidRPr="00D73927">
              <w:rPr>
                <w:rFonts w:cs="Arial"/>
                <w:sz w:val="24"/>
              </w:rPr>
              <w:t>Play &amp; Learning Crèche Worker</w:t>
            </w:r>
          </w:p>
        </w:tc>
      </w:tr>
      <w:tr w:rsidR="004A4871" w:rsidRPr="00D73927" w:rsidTr="00CC3DAD">
        <w:trPr>
          <w:trHeight w:val="472"/>
        </w:trPr>
        <w:tc>
          <w:tcPr>
            <w:tcW w:w="1919" w:type="dxa"/>
            <w:tcBorders>
              <w:top w:val="single" w:sz="4" w:space="0" w:color="FF6600"/>
              <w:bottom w:val="single" w:sz="4" w:space="0" w:color="FF6600"/>
              <w:right w:val="nil"/>
            </w:tcBorders>
            <w:tcMar>
              <w:top w:w="28" w:type="dxa"/>
              <w:left w:w="28" w:type="dxa"/>
              <w:bottom w:w="28" w:type="dxa"/>
              <w:right w:w="28" w:type="dxa"/>
            </w:tcMar>
          </w:tcPr>
          <w:p w:rsidR="004A4871" w:rsidRPr="00D73927" w:rsidRDefault="004A4871" w:rsidP="004A4871">
            <w:pPr>
              <w:pStyle w:val="Bullet1Text"/>
              <w:tabs>
                <w:tab w:val="left" w:pos="0"/>
              </w:tabs>
              <w:rPr>
                <w:rFonts w:cs="Arial"/>
                <w:sz w:val="24"/>
              </w:rPr>
            </w:pPr>
            <w:r w:rsidRPr="00D73927">
              <w:rPr>
                <w:rFonts w:cs="Arial"/>
                <w:sz w:val="24"/>
              </w:rPr>
              <w:t>Directorate:</w:t>
            </w:r>
          </w:p>
        </w:tc>
        <w:tc>
          <w:tcPr>
            <w:tcW w:w="8901" w:type="dxa"/>
            <w:tcBorders>
              <w:top w:val="single" w:sz="4" w:space="0" w:color="FFFFFF"/>
              <w:left w:val="nil"/>
              <w:bottom w:val="single" w:sz="4" w:space="0" w:color="FF6600"/>
            </w:tcBorders>
            <w:tcMar>
              <w:left w:w="85" w:type="dxa"/>
              <w:right w:w="85" w:type="dxa"/>
            </w:tcMar>
          </w:tcPr>
          <w:p w:rsidR="004A4871" w:rsidRPr="00D73927" w:rsidRDefault="004A4871" w:rsidP="004A4871">
            <w:pPr>
              <w:pStyle w:val="Bullet1Text"/>
              <w:tabs>
                <w:tab w:val="left" w:pos="0"/>
              </w:tabs>
              <w:rPr>
                <w:rFonts w:cs="Arial"/>
                <w:iCs/>
                <w:sz w:val="24"/>
              </w:rPr>
            </w:pPr>
            <w:r w:rsidRPr="00D73927">
              <w:rPr>
                <w:rFonts w:cs="Arial"/>
                <w:iCs/>
                <w:sz w:val="24"/>
              </w:rPr>
              <w:t>Sebright Children’s Centre</w:t>
            </w:r>
          </w:p>
        </w:tc>
      </w:tr>
      <w:tr w:rsidR="004A4871" w:rsidRPr="00D73927" w:rsidTr="00CC3DAD">
        <w:trPr>
          <w:trHeight w:val="472"/>
        </w:trPr>
        <w:tc>
          <w:tcPr>
            <w:tcW w:w="1919" w:type="dxa"/>
            <w:tcBorders>
              <w:top w:val="single" w:sz="4" w:space="0" w:color="FF6600"/>
              <w:bottom w:val="single" w:sz="4" w:space="0" w:color="FF6600"/>
              <w:right w:val="nil"/>
            </w:tcBorders>
            <w:tcMar>
              <w:top w:w="28" w:type="dxa"/>
              <w:left w:w="28" w:type="dxa"/>
              <w:bottom w:w="28" w:type="dxa"/>
              <w:right w:w="28" w:type="dxa"/>
            </w:tcMar>
          </w:tcPr>
          <w:p w:rsidR="004A4871" w:rsidRPr="00D73927" w:rsidRDefault="0085685C" w:rsidP="004A4871">
            <w:pPr>
              <w:pStyle w:val="Bullet1Text"/>
              <w:tabs>
                <w:tab w:val="left" w:pos="0"/>
              </w:tabs>
              <w:rPr>
                <w:rFonts w:cs="Arial"/>
                <w:sz w:val="24"/>
              </w:rPr>
            </w:pPr>
            <w:r>
              <w:rPr>
                <w:rFonts w:cs="Arial"/>
                <w:sz w:val="24"/>
              </w:rPr>
              <w:t xml:space="preserve">Reporting </w:t>
            </w:r>
            <w:r w:rsidR="004A4871" w:rsidRPr="00D73927">
              <w:rPr>
                <w:rFonts w:cs="Arial"/>
                <w:sz w:val="24"/>
              </w:rPr>
              <w:t>to:</w:t>
            </w:r>
          </w:p>
        </w:tc>
        <w:tc>
          <w:tcPr>
            <w:tcW w:w="8901" w:type="dxa"/>
            <w:tcBorders>
              <w:top w:val="single" w:sz="4" w:space="0" w:color="FFFFFF"/>
              <w:left w:val="nil"/>
              <w:bottom w:val="single" w:sz="4" w:space="0" w:color="FF6600"/>
            </w:tcBorders>
            <w:tcMar>
              <w:left w:w="85" w:type="dxa"/>
              <w:right w:w="85" w:type="dxa"/>
            </w:tcMar>
          </w:tcPr>
          <w:p w:rsidR="004A4871" w:rsidRPr="00D73927" w:rsidRDefault="004A4871" w:rsidP="004A4871">
            <w:pPr>
              <w:pStyle w:val="Bullet1Text"/>
              <w:tabs>
                <w:tab w:val="left" w:pos="0"/>
              </w:tabs>
              <w:rPr>
                <w:rFonts w:cs="Arial"/>
                <w:iCs/>
                <w:sz w:val="24"/>
              </w:rPr>
            </w:pPr>
            <w:r w:rsidRPr="00D73927">
              <w:rPr>
                <w:rFonts w:cs="Arial"/>
                <w:iCs/>
                <w:sz w:val="24"/>
              </w:rPr>
              <w:t>Play &amp; Learning Co-ordinator</w:t>
            </w:r>
          </w:p>
        </w:tc>
      </w:tr>
      <w:tr w:rsidR="004A4871" w:rsidRPr="00D73927" w:rsidTr="00CC3DAD">
        <w:trPr>
          <w:trHeight w:val="472"/>
        </w:trPr>
        <w:tc>
          <w:tcPr>
            <w:tcW w:w="1919" w:type="dxa"/>
            <w:tcBorders>
              <w:top w:val="single" w:sz="4" w:space="0" w:color="FF6600"/>
              <w:bottom w:val="single" w:sz="4" w:space="0" w:color="FF6600"/>
              <w:right w:val="nil"/>
            </w:tcBorders>
            <w:tcMar>
              <w:top w:w="28" w:type="dxa"/>
              <w:left w:w="28" w:type="dxa"/>
              <w:bottom w:w="28" w:type="dxa"/>
              <w:right w:w="28" w:type="dxa"/>
            </w:tcMar>
          </w:tcPr>
          <w:p w:rsidR="004A4871" w:rsidRDefault="004A4871" w:rsidP="004A4871">
            <w:pPr>
              <w:pStyle w:val="Bullet1Text"/>
              <w:tabs>
                <w:tab w:val="left" w:pos="0"/>
              </w:tabs>
              <w:rPr>
                <w:rFonts w:cs="Arial"/>
                <w:sz w:val="24"/>
              </w:rPr>
            </w:pPr>
            <w:r w:rsidRPr="00D73927">
              <w:rPr>
                <w:rFonts w:cs="Arial"/>
                <w:sz w:val="24"/>
              </w:rPr>
              <w:t>Grade:</w:t>
            </w:r>
          </w:p>
          <w:p w:rsidR="00CC3DAD" w:rsidRPr="00D73927" w:rsidRDefault="00CC3DAD" w:rsidP="00CC3DAD">
            <w:pPr>
              <w:pStyle w:val="Bullet1Text"/>
              <w:rPr>
                <w:rFonts w:cs="Arial"/>
                <w:sz w:val="24"/>
              </w:rPr>
            </w:pPr>
            <w:r w:rsidRPr="00CC3DAD">
              <w:rPr>
                <w:rFonts w:cs="Arial"/>
                <w:sz w:val="24"/>
              </w:rPr>
              <w:t>Contract type</w:t>
            </w:r>
            <w:r>
              <w:rPr>
                <w:rFonts w:cs="Arial"/>
                <w:sz w:val="24"/>
              </w:rPr>
              <w:t xml:space="preserve">: </w:t>
            </w:r>
          </w:p>
        </w:tc>
        <w:tc>
          <w:tcPr>
            <w:tcW w:w="8901" w:type="dxa"/>
            <w:tcBorders>
              <w:top w:val="single" w:sz="4" w:space="0" w:color="FFFFFF"/>
              <w:left w:val="nil"/>
              <w:bottom w:val="single" w:sz="4" w:space="0" w:color="FF6600"/>
            </w:tcBorders>
            <w:tcMar>
              <w:left w:w="85" w:type="dxa"/>
              <w:right w:w="85" w:type="dxa"/>
            </w:tcMar>
          </w:tcPr>
          <w:p w:rsidR="00695117" w:rsidRDefault="004A4871" w:rsidP="004A4871">
            <w:pPr>
              <w:pStyle w:val="Bullet1Text"/>
              <w:tabs>
                <w:tab w:val="left" w:pos="0"/>
              </w:tabs>
              <w:rPr>
                <w:rFonts w:cs="Arial"/>
                <w:iCs/>
                <w:sz w:val="24"/>
              </w:rPr>
            </w:pPr>
            <w:r w:rsidRPr="00D73927">
              <w:rPr>
                <w:rFonts w:cs="Arial"/>
                <w:iCs/>
                <w:sz w:val="24"/>
              </w:rPr>
              <w:t>Scale 4  £23,628 - £24,927 ( 18</w:t>
            </w:r>
            <w:r w:rsidR="00DF5821">
              <w:rPr>
                <w:rFonts w:cs="Arial"/>
                <w:iCs/>
                <w:sz w:val="24"/>
              </w:rPr>
              <w:t xml:space="preserve"> hours</w:t>
            </w:r>
            <w:r w:rsidRPr="00D73927">
              <w:rPr>
                <w:rFonts w:cs="Arial"/>
                <w:iCs/>
                <w:sz w:val="24"/>
              </w:rPr>
              <w:t xml:space="preserve"> per week Term Time only pro-rata)</w:t>
            </w:r>
          </w:p>
          <w:p w:rsidR="004A4871" w:rsidRPr="00CC3DAD" w:rsidRDefault="00695117" w:rsidP="00CC3DAD">
            <w:pPr>
              <w:pStyle w:val="Bullet1Text"/>
              <w:tabs>
                <w:tab w:val="left" w:pos="0"/>
              </w:tabs>
              <w:rPr>
                <w:rFonts w:cs="Arial"/>
                <w:iCs/>
                <w:sz w:val="24"/>
              </w:rPr>
            </w:pPr>
            <w:r w:rsidRPr="00CC3DAD">
              <w:rPr>
                <w:rFonts w:cs="Arial"/>
                <w:iCs/>
                <w:sz w:val="24"/>
              </w:rPr>
              <w:t xml:space="preserve">Temporary 1 year </w:t>
            </w:r>
            <w:r w:rsidR="004A4871" w:rsidRPr="00CC3DAD">
              <w:rPr>
                <w:rFonts w:cs="Arial"/>
                <w:iCs/>
                <w:sz w:val="24"/>
              </w:rPr>
              <w:t xml:space="preserve"> </w:t>
            </w:r>
          </w:p>
        </w:tc>
      </w:tr>
    </w:tbl>
    <w:p w:rsidR="00E30F49" w:rsidRDefault="00E30F49" w:rsidP="00395301">
      <w:pPr>
        <w:pStyle w:val="Bullet1Text"/>
        <w:numPr>
          <w:ilvl w:val="0"/>
          <w:numId w:val="0"/>
        </w:numPr>
        <w:tabs>
          <w:tab w:val="clear" w:pos="517"/>
          <w:tab w:val="left" w:pos="0"/>
        </w:tabs>
        <w:rPr>
          <w:rFonts w:cs="Arial"/>
        </w:rPr>
      </w:pPr>
    </w:p>
    <w:p w:rsidR="007B5A86" w:rsidRPr="00E30F49" w:rsidRDefault="004A4871" w:rsidP="00395301">
      <w:pPr>
        <w:pStyle w:val="Bullet1Text"/>
        <w:numPr>
          <w:ilvl w:val="0"/>
          <w:numId w:val="0"/>
        </w:numPr>
        <w:tabs>
          <w:tab w:val="clear" w:pos="517"/>
          <w:tab w:val="left" w:pos="0"/>
        </w:tabs>
        <w:rPr>
          <w:rFonts w:ascii="Nunito" w:eastAsiaTheme="minorHAnsi" w:hAnsi="Nunito" w:cs="Arial"/>
          <w:lang w:val="en"/>
        </w:rPr>
      </w:pPr>
      <w:r w:rsidRPr="00E30F49">
        <w:rPr>
          <w:rFonts w:cs="Arial"/>
        </w:rPr>
        <w:t>We are currently seeking an enthusiastic</w:t>
      </w:r>
      <w:r w:rsidR="000E6DD1" w:rsidRPr="00E30F49">
        <w:rPr>
          <w:rFonts w:cs="Arial"/>
        </w:rPr>
        <w:t xml:space="preserve">, </w:t>
      </w:r>
      <w:r w:rsidR="005F0B22" w:rsidRPr="00E30F49">
        <w:rPr>
          <w:rFonts w:cs="Arial"/>
        </w:rPr>
        <w:t xml:space="preserve">innovative, </w:t>
      </w:r>
      <w:r w:rsidR="000E6DD1" w:rsidRPr="00E30F49">
        <w:rPr>
          <w:rFonts w:cs="Arial"/>
        </w:rPr>
        <w:t xml:space="preserve">creative, dynamic </w:t>
      </w:r>
      <w:r w:rsidRPr="00E30F49">
        <w:rPr>
          <w:rFonts w:cs="Arial"/>
        </w:rPr>
        <w:t>and experienced Play and Learning Crèche Worker</w:t>
      </w:r>
      <w:r w:rsidR="000E6DD1" w:rsidRPr="00E30F49">
        <w:rPr>
          <w:rFonts w:cs="Arial"/>
        </w:rPr>
        <w:t xml:space="preserve">. </w:t>
      </w:r>
      <w:r w:rsidR="007B5A86" w:rsidRPr="00E30F49">
        <w:rPr>
          <w:rFonts w:cs="Arial"/>
        </w:rPr>
        <w:t>Candidates</w:t>
      </w:r>
      <w:r w:rsidR="000E6DD1" w:rsidRPr="00E30F49">
        <w:rPr>
          <w:rFonts w:cs="Arial"/>
        </w:rPr>
        <w:t xml:space="preserve"> will need to be able to plan, prepare and deliver activities for the diverse needs of the children and families accessing</w:t>
      </w:r>
      <w:r w:rsidRPr="00E30F49">
        <w:rPr>
          <w:rFonts w:cs="Arial"/>
        </w:rPr>
        <w:t xml:space="preserve"> crèche facilities, two-year-old provision and Drop In’s. </w:t>
      </w:r>
      <w:r w:rsidR="00DF7E73" w:rsidRPr="00E30F49">
        <w:rPr>
          <w:rFonts w:cs="Arial"/>
        </w:rPr>
        <w:t>Good</w:t>
      </w:r>
      <w:r w:rsidR="00395301" w:rsidRPr="00E30F49">
        <w:rPr>
          <w:rFonts w:cs="Arial"/>
          <w:lang w:val="en"/>
        </w:rPr>
        <w:t xml:space="preserve"> knowledge of the Early Years Foundation Stage and experience of working in partnership with parents is </w:t>
      </w:r>
      <w:r w:rsidR="00DF7E73" w:rsidRPr="00E30F49">
        <w:rPr>
          <w:rFonts w:cs="Arial"/>
          <w:lang w:val="en"/>
        </w:rPr>
        <w:t>essential</w:t>
      </w:r>
      <w:r w:rsidR="00395301" w:rsidRPr="00E30F49">
        <w:rPr>
          <w:rFonts w:cs="Arial"/>
          <w:lang w:val="en"/>
        </w:rPr>
        <w:t>.</w:t>
      </w:r>
      <w:r w:rsidR="007B5A86" w:rsidRPr="00E30F49">
        <w:rPr>
          <w:rFonts w:ascii="Nunito" w:eastAsiaTheme="minorHAnsi" w:hAnsi="Nunito" w:cs="Arial"/>
          <w:lang w:val="en"/>
        </w:rPr>
        <w:t xml:space="preserve"> </w:t>
      </w:r>
    </w:p>
    <w:p w:rsidR="00DD2ED4" w:rsidRPr="00E30F49" w:rsidRDefault="00DD2ED4" w:rsidP="00395301">
      <w:pPr>
        <w:pStyle w:val="Bullet1Text"/>
        <w:numPr>
          <w:ilvl w:val="0"/>
          <w:numId w:val="0"/>
        </w:numPr>
        <w:tabs>
          <w:tab w:val="clear" w:pos="517"/>
          <w:tab w:val="left" w:pos="0"/>
        </w:tabs>
        <w:rPr>
          <w:rFonts w:ascii="Nunito" w:eastAsiaTheme="minorHAnsi" w:hAnsi="Nunito" w:cs="Arial"/>
          <w:lang w:val="en"/>
        </w:rPr>
      </w:pPr>
    </w:p>
    <w:p w:rsidR="007B5A86" w:rsidRPr="00E30F49" w:rsidRDefault="007B5A86" w:rsidP="00395301">
      <w:pPr>
        <w:pStyle w:val="Bullet1Text"/>
        <w:numPr>
          <w:ilvl w:val="0"/>
          <w:numId w:val="0"/>
        </w:numPr>
        <w:tabs>
          <w:tab w:val="clear" w:pos="517"/>
          <w:tab w:val="left" w:pos="0"/>
        </w:tabs>
        <w:rPr>
          <w:rFonts w:ascii="Nunito" w:eastAsiaTheme="minorHAnsi" w:hAnsi="Nunito" w:cs="Arial"/>
          <w:lang w:val="en"/>
        </w:rPr>
      </w:pPr>
      <w:r w:rsidRPr="00E30F49">
        <w:rPr>
          <w:rFonts w:cs="Arial"/>
          <w:lang w:val="en"/>
        </w:rPr>
        <w:t xml:space="preserve">Candidates must be numerate, have a good standard of spoken and written English and </w:t>
      </w:r>
      <w:r w:rsidR="002E7BE0" w:rsidRPr="00E30F49">
        <w:rPr>
          <w:rFonts w:cs="Arial"/>
          <w:lang w:val="en"/>
        </w:rPr>
        <w:t>computer literate</w:t>
      </w:r>
      <w:r w:rsidRPr="00E30F49">
        <w:rPr>
          <w:rFonts w:cs="Arial"/>
          <w:lang w:val="en"/>
        </w:rPr>
        <w:t>.</w:t>
      </w:r>
      <w:r w:rsidRPr="00E30F49">
        <w:rPr>
          <w:rFonts w:asciiTheme="minorHAnsi" w:eastAsiaTheme="minorHAnsi" w:hAnsiTheme="minorHAnsi" w:cs="Arial"/>
        </w:rPr>
        <w:t xml:space="preserve"> </w:t>
      </w:r>
      <w:r w:rsidRPr="00E30F49">
        <w:rPr>
          <w:rFonts w:cs="Arial"/>
        </w:rPr>
        <w:t>You need to have the ability to monitor, assess, record and produce written reports as a member of staff taking responsibility for key children’s learning and development.</w:t>
      </w:r>
      <w:r w:rsidRPr="00E30F49">
        <w:rPr>
          <w:rFonts w:ascii="Nunito" w:eastAsiaTheme="minorHAnsi" w:hAnsi="Nunito" w:cs="Arial"/>
          <w:lang w:val="en"/>
        </w:rPr>
        <w:t xml:space="preserve"> </w:t>
      </w:r>
    </w:p>
    <w:p w:rsidR="007B5A86" w:rsidRPr="00E30F49" w:rsidRDefault="007B5A86" w:rsidP="00395301">
      <w:pPr>
        <w:pStyle w:val="Bullet1Text"/>
        <w:numPr>
          <w:ilvl w:val="0"/>
          <w:numId w:val="0"/>
        </w:numPr>
        <w:tabs>
          <w:tab w:val="clear" w:pos="517"/>
          <w:tab w:val="left" w:pos="0"/>
        </w:tabs>
        <w:rPr>
          <w:rFonts w:ascii="Nunito" w:eastAsiaTheme="minorHAnsi" w:hAnsi="Nunito" w:cs="Arial"/>
          <w:lang w:val="en"/>
        </w:rPr>
      </w:pPr>
    </w:p>
    <w:p w:rsidR="00DD2ED4" w:rsidRPr="00E30F49" w:rsidRDefault="007B5A86" w:rsidP="00DD2ED4">
      <w:pPr>
        <w:pStyle w:val="Bullet1Text"/>
        <w:numPr>
          <w:ilvl w:val="0"/>
          <w:numId w:val="0"/>
        </w:numPr>
        <w:tabs>
          <w:tab w:val="clear" w:pos="517"/>
          <w:tab w:val="left" w:pos="0"/>
        </w:tabs>
        <w:rPr>
          <w:rFonts w:cs="Arial"/>
          <w:lang w:val="en"/>
        </w:rPr>
      </w:pPr>
      <w:r w:rsidRPr="00E30F49">
        <w:rPr>
          <w:rFonts w:cs="Arial"/>
          <w:lang w:val="en"/>
        </w:rPr>
        <w:t xml:space="preserve">The post is to start as soon as possible, subject to successful DBS and reference clearance, </w:t>
      </w:r>
      <w:r w:rsidR="00DD2ED4" w:rsidRPr="00E30F49">
        <w:rPr>
          <w:rFonts w:cs="Arial"/>
          <w:lang w:val="en"/>
        </w:rPr>
        <w:t>with</w:t>
      </w:r>
      <w:r w:rsidRPr="00E30F49">
        <w:rPr>
          <w:rFonts w:cs="Arial"/>
          <w:lang w:val="en"/>
        </w:rPr>
        <w:t xml:space="preserve"> a </w:t>
      </w:r>
      <w:r w:rsidR="00E30F49" w:rsidRPr="00E30F49">
        <w:rPr>
          <w:rFonts w:cs="Arial"/>
          <w:lang w:val="en"/>
        </w:rPr>
        <w:t>six-month</w:t>
      </w:r>
      <w:r w:rsidRPr="00E30F49">
        <w:rPr>
          <w:rFonts w:cs="Arial"/>
          <w:lang w:val="en"/>
        </w:rPr>
        <w:t xml:space="preserve"> probation review.</w:t>
      </w:r>
    </w:p>
    <w:p w:rsidR="00E30F49" w:rsidRPr="00E30F49" w:rsidRDefault="00E30F49" w:rsidP="00DD2ED4">
      <w:pPr>
        <w:pStyle w:val="Bullet1Text"/>
        <w:numPr>
          <w:ilvl w:val="0"/>
          <w:numId w:val="0"/>
        </w:numPr>
        <w:tabs>
          <w:tab w:val="clear" w:pos="517"/>
          <w:tab w:val="left" w:pos="0"/>
        </w:tabs>
        <w:rPr>
          <w:rFonts w:cs="Arial"/>
          <w:lang w:val="en"/>
        </w:rPr>
      </w:pPr>
    </w:p>
    <w:p w:rsidR="00E30F49" w:rsidRPr="00E30F49" w:rsidRDefault="00E30F49" w:rsidP="00E30F49">
      <w:pPr>
        <w:jc w:val="both"/>
        <w:rPr>
          <w:rFonts w:ascii="Arial" w:hAnsi="Arial" w:cs="Arial"/>
        </w:rPr>
      </w:pPr>
      <w:r w:rsidRPr="00E30F49">
        <w:rPr>
          <w:rFonts w:ascii="Arial" w:hAnsi="Arial" w:cs="Arial"/>
        </w:rPr>
        <w:t xml:space="preserve">Sebright is a friendly, multi-ethnic community with </w:t>
      </w:r>
      <w:r>
        <w:rPr>
          <w:rFonts w:ascii="Arial" w:hAnsi="Arial" w:cs="Arial"/>
        </w:rPr>
        <w:t>great staff and great children.</w:t>
      </w:r>
      <w:r w:rsidRPr="00E30F49">
        <w:rPr>
          <w:rFonts w:ascii="Arial" w:hAnsi="Arial" w:cs="Arial"/>
        </w:rPr>
        <w:t xml:space="preserve"> Sebright Children Centre is committed to safeguarding and promoting the welfare of children and young people. All Sebright Children’s Centre posts are subject to an enhanced DBS check. We welcome applications from all sections of the community, regardless of gender, race, religion, disability, sexual orientation or age.</w:t>
      </w:r>
    </w:p>
    <w:p w:rsidR="00E30F49" w:rsidRPr="00E30F49" w:rsidRDefault="00E30F49" w:rsidP="00E30F49">
      <w:pPr>
        <w:spacing w:after="0" w:line="240" w:lineRule="auto"/>
        <w:jc w:val="both"/>
        <w:rPr>
          <w:rFonts w:ascii="Arial" w:hAnsi="Arial" w:cs="Arial"/>
          <w:b/>
        </w:rPr>
      </w:pPr>
      <w:r w:rsidRPr="00E30F49">
        <w:rPr>
          <w:rFonts w:ascii="Arial" w:hAnsi="Arial" w:cs="Arial"/>
          <w:b/>
        </w:rPr>
        <w:t xml:space="preserve">If you would like a Job description and application pack, please contact reception on </w:t>
      </w:r>
    </w:p>
    <w:p w:rsidR="00E30F49" w:rsidRDefault="00E30F49" w:rsidP="00E30F49">
      <w:pPr>
        <w:spacing w:after="0" w:line="240" w:lineRule="auto"/>
        <w:jc w:val="both"/>
        <w:rPr>
          <w:rFonts w:ascii="Arial" w:hAnsi="Arial" w:cs="Arial"/>
          <w:b/>
        </w:rPr>
      </w:pPr>
      <w:r w:rsidRPr="00E30F49">
        <w:rPr>
          <w:rFonts w:ascii="Arial" w:hAnsi="Arial" w:cs="Arial"/>
          <w:b/>
        </w:rPr>
        <w:t xml:space="preserve">020 77491210 or alternatively email: </w:t>
      </w:r>
      <w:hyperlink r:id="rId7" w:history="1">
        <w:r w:rsidRPr="00E30F49">
          <w:rPr>
            <w:rStyle w:val="Hyperlink"/>
            <w:rFonts w:ascii="Arial" w:hAnsi="Arial" w:cs="Arial"/>
            <w:b/>
          </w:rPr>
          <w:t>sebrightcc@sebright.hackney.sch.uk</w:t>
        </w:r>
      </w:hyperlink>
      <w:r w:rsidRPr="00E30F49">
        <w:rPr>
          <w:rFonts w:ascii="Arial" w:hAnsi="Arial" w:cs="Arial"/>
          <w:b/>
        </w:rPr>
        <w:t xml:space="preserve"> </w:t>
      </w:r>
    </w:p>
    <w:p w:rsidR="00E30F49" w:rsidRPr="00E30F49" w:rsidRDefault="00E30F49" w:rsidP="00E30F49">
      <w:pPr>
        <w:spacing w:after="0" w:line="240" w:lineRule="auto"/>
        <w:jc w:val="both"/>
        <w:rPr>
          <w:rFonts w:ascii="Arial" w:hAnsi="Arial" w:cs="Arial"/>
          <w:b/>
        </w:rPr>
      </w:pPr>
    </w:p>
    <w:p w:rsidR="00E30F49" w:rsidRPr="00E30F49" w:rsidRDefault="00E30F49" w:rsidP="00E30F49">
      <w:pPr>
        <w:jc w:val="both"/>
        <w:rPr>
          <w:rFonts w:ascii="Arial" w:hAnsi="Arial" w:cs="Arial"/>
          <w:b/>
        </w:rPr>
      </w:pPr>
      <w:r w:rsidRPr="00E30F49">
        <w:rPr>
          <w:rFonts w:ascii="Arial" w:hAnsi="Arial" w:cs="Arial"/>
          <w:b/>
        </w:rPr>
        <w:t>Visit to the Centre are welcomed please contact reception on 020 7749 1210</w:t>
      </w:r>
    </w:p>
    <w:p w:rsidR="00E30F49" w:rsidRPr="00E30F49" w:rsidRDefault="00E30F49" w:rsidP="00E30F49">
      <w:pPr>
        <w:jc w:val="both"/>
        <w:rPr>
          <w:rFonts w:ascii="Arial" w:hAnsi="Arial" w:cs="Arial"/>
          <w:b/>
        </w:rPr>
      </w:pPr>
    </w:p>
    <w:p w:rsidR="00E30F49" w:rsidRPr="00E30F49" w:rsidRDefault="00E30F49" w:rsidP="00E30F49">
      <w:pPr>
        <w:rPr>
          <w:rFonts w:ascii="Arial" w:hAnsi="Arial" w:cs="Arial"/>
          <w:b/>
          <w:lang w:val="en"/>
        </w:rPr>
      </w:pPr>
      <w:r w:rsidRPr="00E30F49">
        <w:rPr>
          <w:rFonts w:ascii="Arial" w:hAnsi="Arial" w:cs="Arial"/>
          <w:b/>
          <w:lang w:val="en"/>
        </w:rPr>
        <w:t>Closing date: 25</w:t>
      </w:r>
      <w:r w:rsidRPr="00E30F49">
        <w:rPr>
          <w:rFonts w:ascii="Arial" w:hAnsi="Arial" w:cs="Arial"/>
          <w:b/>
          <w:vertAlign w:val="superscript"/>
          <w:lang w:val="en"/>
        </w:rPr>
        <w:t>th</w:t>
      </w:r>
      <w:r w:rsidRPr="00E30F49">
        <w:rPr>
          <w:rFonts w:ascii="Arial" w:hAnsi="Arial" w:cs="Arial"/>
          <w:b/>
          <w:lang w:val="en"/>
        </w:rPr>
        <w:t xml:space="preserve"> October 2019</w:t>
      </w:r>
      <w:r w:rsidRPr="00E30F49">
        <w:rPr>
          <w:rFonts w:ascii="Arial" w:hAnsi="Arial" w:cs="Arial"/>
          <w:b/>
          <w:lang w:val="en"/>
        </w:rPr>
        <w:br/>
        <w:t>Interviews will take place week commencing 28</w:t>
      </w:r>
      <w:r w:rsidRPr="00E30F49">
        <w:rPr>
          <w:rFonts w:ascii="Arial" w:hAnsi="Arial" w:cs="Arial"/>
          <w:b/>
          <w:vertAlign w:val="superscript"/>
          <w:lang w:val="en"/>
        </w:rPr>
        <w:t>th</w:t>
      </w:r>
      <w:r w:rsidRPr="00E30F49">
        <w:rPr>
          <w:rFonts w:ascii="Arial" w:hAnsi="Arial" w:cs="Arial"/>
          <w:b/>
          <w:lang w:val="en"/>
        </w:rPr>
        <w:t xml:space="preserve"> October 2019</w:t>
      </w:r>
    </w:p>
    <w:p w:rsidR="005021FB" w:rsidRPr="00E30F49" w:rsidRDefault="005021FB" w:rsidP="00E30F49">
      <w:pPr>
        <w:rPr>
          <w:rFonts w:ascii="Arial" w:hAnsi="Arial" w:cs="Arial"/>
        </w:rPr>
      </w:pPr>
    </w:p>
    <w:sectPr w:rsidR="005021FB" w:rsidRPr="00E30F4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9CE" w:rsidRDefault="00BB69CE" w:rsidP="00BB69CE">
      <w:pPr>
        <w:spacing w:after="0" w:line="240" w:lineRule="auto"/>
      </w:pPr>
      <w:r>
        <w:separator/>
      </w:r>
    </w:p>
  </w:endnote>
  <w:endnote w:type="continuationSeparator" w:id="0">
    <w:p w:rsidR="00BB69CE" w:rsidRDefault="00BB69CE" w:rsidP="00BB6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9CE" w:rsidRDefault="00BB69CE" w:rsidP="00BB69CE">
      <w:pPr>
        <w:spacing w:after="0" w:line="240" w:lineRule="auto"/>
      </w:pPr>
      <w:r>
        <w:separator/>
      </w:r>
    </w:p>
  </w:footnote>
  <w:footnote w:type="continuationSeparator" w:id="0">
    <w:p w:rsidR="00BB69CE" w:rsidRDefault="00BB69CE" w:rsidP="00BB6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9CE" w:rsidRDefault="00BB69CE">
    <w:pPr>
      <w:pStyle w:val="Header"/>
    </w:pPr>
    <w:r>
      <w:rPr>
        <w:noProof/>
        <w:lang/>
      </w:rPr>
      <w:drawing>
        <wp:inline distT="0" distB="0" distL="0" distR="0">
          <wp:extent cx="1266825" cy="1323975"/>
          <wp:effectExtent l="0" t="0" r="9525" b="9525"/>
          <wp:docPr id="1" name="Picture 1" descr="SB005 SB Logo_Childen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005 SB Logo_Childen Cent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323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12828"/>
    <w:multiLevelType w:val="hybridMultilevel"/>
    <w:tmpl w:val="2604BE04"/>
    <w:lvl w:ilvl="0" w:tplc="A156DCBA">
      <w:start w:val="1"/>
      <w:numFmt w:val="bullet"/>
      <w:pStyle w:val="Bullet1Text"/>
      <w:lvlText w:val=""/>
      <w:lvlJc w:val="left"/>
      <w:pPr>
        <w:ind w:left="360" w:hanging="360"/>
      </w:pPr>
      <w:rPr>
        <w:rFonts w:ascii="Symbol" w:hAnsi="Symbol" w:hint="default"/>
        <w:color w:val="E36C0A"/>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D555EC8"/>
    <w:multiLevelType w:val="hybridMultilevel"/>
    <w:tmpl w:val="3F26F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871"/>
    <w:rsid w:val="000E6DD1"/>
    <w:rsid w:val="001D7313"/>
    <w:rsid w:val="002E7BE0"/>
    <w:rsid w:val="002F7495"/>
    <w:rsid w:val="00395301"/>
    <w:rsid w:val="004A4871"/>
    <w:rsid w:val="005021FB"/>
    <w:rsid w:val="005F0B22"/>
    <w:rsid w:val="00661178"/>
    <w:rsid w:val="00695117"/>
    <w:rsid w:val="007B5A86"/>
    <w:rsid w:val="0085685C"/>
    <w:rsid w:val="00A4618D"/>
    <w:rsid w:val="00BB69CE"/>
    <w:rsid w:val="00CC3DAD"/>
    <w:rsid w:val="00D35A9A"/>
    <w:rsid w:val="00D61486"/>
    <w:rsid w:val="00D73927"/>
    <w:rsid w:val="00DD2ED4"/>
    <w:rsid w:val="00DF5821"/>
    <w:rsid w:val="00DF7E73"/>
    <w:rsid w:val="00E30F49"/>
    <w:rsid w:val="00FE3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810678-D41E-4D31-8F21-9CCC2AEA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Text">
    <w:name w:val="Bullet1 (Text)"/>
    <w:basedOn w:val="Header"/>
    <w:link w:val="Bullet1TextChar"/>
    <w:rsid w:val="004A4871"/>
    <w:pPr>
      <w:keepLines/>
      <w:numPr>
        <w:numId w:val="1"/>
      </w:numPr>
      <w:tabs>
        <w:tab w:val="clear" w:pos="4513"/>
        <w:tab w:val="clear" w:pos="9026"/>
        <w:tab w:val="left" w:pos="517"/>
      </w:tabs>
      <w:spacing w:before="40" w:after="40" w:line="288" w:lineRule="auto"/>
    </w:pPr>
    <w:rPr>
      <w:rFonts w:ascii="Arial" w:eastAsia="Times New Roman" w:hAnsi="Arial" w:cs="Times New Roman"/>
    </w:rPr>
  </w:style>
  <w:style w:type="character" w:customStyle="1" w:styleId="Bullet1TextChar">
    <w:name w:val="Bullet1 (Text) Char"/>
    <w:link w:val="Bullet1Text"/>
    <w:locked/>
    <w:rsid w:val="004A4871"/>
    <w:rPr>
      <w:rFonts w:ascii="Arial" w:eastAsia="Times New Roman" w:hAnsi="Arial" w:cs="Times New Roman"/>
    </w:rPr>
  </w:style>
  <w:style w:type="paragraph" w:styleId="Header">
    <w:name w:val="header"/>
    <w:basedOn w:val="Normal"/>
    <w:link w:val="HeaderChar"/>
    <w:uiPriority w:val="99"/>
    <w:unhideWhenUsed/>
    <w:rsid w:val="004A48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871"/>
  </w:style>
  <w:style w:type="character" w:styleId="Hyperlink">
    <w:name w:val="Hyperlink"/>
    <w:basedOn w:val="DefaultParagraphFont"/>
    <w:uiPriority w:val="99"/>
    <w:unhideWhenUsed/>
    <w:rsid w:val="001D7313"/>
    <w:rPr>
      <w:color w:val="0000FF" w:themeColor="hyperlink"/>
      <w:u w:val="single"/>
    </w:rPr>
  </w:style>
  <w:style w:type="paragraph" w:styleId="Footer">
    <w:name w:val="footer"/>
    <w:basedOn w:val="Normal"/>
    <w:link w:val="FooterChar"/>
    <w:uiPriority w:val="99"/>
    <w:unhideWhenUsed/>
    <w:rsid w:val="00BB6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9CE"/>
  </w:style>
  <w:style w:type="paragraph" w:styleId="BalloonText">
    <w:name w:val="Balloon Text"/>
    <w:basedOn w:val="Normal"/>
    <w:link w:val="BalloonTextChar"/>
    <w:uiPriority w:val="99"/>
    <w:semiHidden/>
    <w:unhideWhenUsed/>
    <w:rsid w:val="00DF5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8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6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brightcc@sebright.hackne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282</Words>
  <Characters>1614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Itidal Said</dc:creator>
  <cp:lastModifiedBy>Holly Robertson</cp:lastModifiedBy>
  <cp:revision>2</cp:revision>
  <dcterms:created xsi:type="dcterms:W3CDTF">2019-10-09T09:51:00Z</dcterms:created>
  <dcterms:modified xsi:type="dcterms:W3CDTF">2019-10-09T09:51:00Z</dcterms:modified>
</cp:coreProperties>
</file>